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616" w:rsidRDefault="00553616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553616" w:rsidRPr="00464B1E" w:rsidRDefault="00553616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Załącznik nr 1 </w:t>
      </w:r>
      <w:bookmarkEnd w:id="0"/>
    </w:p>
    <w:p w:rsidR="00553616" w:rsidRPr="00464B1E" w:rsidRDefault="00553616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hAnsi="Times New Roman"/>
          <w:bCs/>
          <w:i/>
          <w:sz w:val="24"/>
          <w:szCs w:val="24"/>
          <w:lang w:eastAsia="pl-PL"/>
        </w:rPr>
        <w:t>do zapytania ofertowego</w:t>
      </w:r>
    </w:p>
    <w:p w:rsidR="00553616" w:rsidRPr="00B775EC" w:rsidRDefault="00553616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eastAsia="pl-PL"/>
        </w:rPr>
      </w:pPr>
      <w:r w:rsidRPr="00B775EC">
        <w:rPr>
          <w:rFonts w:ascii="Times New Roman" w:hAnsi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553616" w:rsidRPr="0068231A" w:rsidTr="002C07B9">
        <w:tc>
          <w:tcPr>
            <w:tcW w:w="3524" w:type="dxa"/>
            <w:vMerge w:val="restart"/>
            <w:shd w:val="clear" w:color="auto" w:fill="F2F2F2"/>
            <w:vAlign w:val="center"/>
          </w:tcPr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553616" w:rsidRPr="00B775EC" w:rsidRDefault="00553616" w:rsidP="00B775EC">
            <w:pPr>
              <w:spacing w:before="240"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553616" w:rsidRPr="0068231A" w:rsidTr="002C07B9">
        <w:trPr>
          <w:trHeight w:val="397"/>
        </w:trPr>
        <w:tc>
          <w:tcPr>
            <w:tcW w:w="3524" w:type="dxa"/>
            <w:vMerge/>
            <w:shd w:val="clear" w:color="auto" w:fill="F2F2F2"/>
            <w:vAlign w:val="center"/>
          </w:tcPr>
          <w:p w:rsidR="00553616" w:rsidRPr="00B775EC" w:rsidRDefault="00553616" w:rsidP="00E6067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vAlign w:val="center"/>
          </w:tcPr>
          <w:p w:rsidR="00553616" w:rsidRDefault="00553616" w:rsidP="000800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53616" w:rsidRPr="00B775EC" w:rsidRDefault="00553616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Nr telefonu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  <w:p w:rsidR="00553616" w:rsidRPr="00B775EC" w:rsidRDefault="00553616" w:rsidP="00B775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Adres e-mail ....................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</w:t>
            </w:r>
          </w:p>
        </w:tc>
      </w:tr>
      <w:tr w:rsidR="00553616" w:rsidRPr="0068231A" w:rsidTr="000800A1">
        <w:tc>
          <w:tcPr>
            <w:tcW w:w="3524" w:type="dxa"/>
            <w:vMerge w:val="restart"/>
            <w:shd w:val="clear" w:color="auto" w:fill="F2F2F2"/>
            <w:vAlign w:val="center"/>
          </w:tcPr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vAlign w:val="center"/>
          </w:tcPr>
          <w:p w:rsidR="00553616" w:rsidRPr="00B775EC" w:rsidRDefault="00553616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ul.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vAlign w:val="center"/>
          </w:tcPr>
          <w:p w:rsidR="00553616" w:rsidRPr="00B775EC" w:rsidRDefault="00553616" w:rsidP="00B775EC">
            <w:pPr>
              <w:spacing w:before="120" w:after="40" w:line="36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nr </w:t>
            </w:r>
            <w:r w:rsidRPr="00B775EC">
              <w:rPr>
                <w:rFonts w:ascii="Times New Roman" w:hAnsi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553616" w:rsidRPr="0068231A" w:rsidTr="000800A1">
        <w:trPr>
          <w:trHeight w:val="661"/>
        </w:trPr>
        <w:tc>
          <w:tcPr>
            <w:tcW w:w="3524" w:type="dxa"/>
            <w:vMerge/>
            <w:shd w:val="clear" w:color="auto" w:fill="F2F2F2"/>
            <w:vAlign w:val="center"/>
          </w:tcPr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vAlign w:val="bottom"/>
          </w:tcPr>
          <w:p w:rsidR="00553616" w:rsidRPr="00B775EC" w:rsidRDefault="00553616" w:rsidP="00B775EC">
            <w:pPr>
              <w:spacing w:before="120"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Kod pocztowy:  _ _</w:t>
            </w:r>
            <w:r w:rsidRPr="00B775EC">
              <w:rPr>
                <w:rFonts w:ascii="Times New Roman" w:hAnsi="Times New Roman"/>
                <w:b/>
                <w:lang w:eastAsia="pl-PL"/>
              </w:rPr>
              <w:t>-</w:t>
            </w:r>
            <w:r w:rsidRPr="00B775EC">
              <w:rPr>
                <w:rFonts w:ascii="Times New Roman" w:hAnsi="Times New Roman"/>
                <w:lang w:eastAsia="pl-PL"/>
              </w:rPr>
              <w:t>_ _ _</w:t>
            </w:r>
          </w:p>
        </w:tc>
        <w:tc>
          <w:tcPr>
            <w:tcW w:w="3946" w:type="dxa"/>
            <w:vAlign w:val="bottom"/>
          </w:tcPr>
          <w:p w:rsidR="00553616" w:rsidRPr="00B775EC" w:rsidRDefault="00553616" w:rsidP="00B775EC">
            <w:pPr>
              <w:spacing w:after="6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lang w:eastAsia="pl-PL"/>
              </w:rPr>
              <w:t>Miejscowość: …..........................</w:t>
            </w:r>
          </w:p>
        </w:tc>
      </w:tr>
      <w:tr w:rsidR="00553616" w:rsidRPr="0068231A" w:rsidTr="0019282E">
        <w:trPr>
          <w:cantSplit/>
          <w:trHeight w:hRule="exact" w:val="1922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3616" w:rsidRDefault="00553616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Czytanie sprawozdań i określenie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ryzyk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podatkowych na podstawie pozycji sprawozdań </w:t>
            </w:r>
          </w:p>
          <w:p w:rsidR="00553616" w:rsidRPr="001736E8" w:rsidRDefault="00553616" w:rsidP="0065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finansowych” </w:t>
            </w:r>
            <w:r w:rsidRPr="001736E8">
              <w:rPr>
                <w:rFonts w:ascii="Times New Roman" w:hAnsi="Times New Roman"/>
                <w:b/>
                <w:bCs/>
                <w:sz w:val="24"/>
                <w:szCs w:val="28"/>
                <w:lang w:eastAsia="pl-PL"/>
              </w:rPr>
              <w:t xml:space="preserve"> (brutto)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:rsidR="00553616" w:rsidRDefault="00553616" w:rsidP="00C934FA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553616" w:rsidRPr="0068231A" w:rsidTr="0019282E">
        <w:trPr>
          <w:cantSplit/>
          <w:trHeight w:hRule="exact" w:val="1362"/>
        </w:trPr>
        <w:tc>
          <w:tcPr>
            <w:tcW w:w="35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53616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553616" w:rsidRPr="00B775EC" w:rsidRDefault="00553616" w:rsidP="00464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553616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Pr="00B775EC" w:rsidRDefault="00553616" w:rsidP="00464B1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553616" w:rsidRPr="00B775EC" w:rsidRDefault="00553616" w:rsidP="00464B1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B775E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553616" w:rsidRPr="00B775EC" w:rsidRDefault="00553616" w:rsidP="00B775EC">
      <w:pPr>
        <w:spacing w:after="0" w:line="240" w:lineRule="auto"/>
        <w:ind w:left="-540"/>
        <w:jc w:val="both"/>
        <w:rPr>
          <w:rFonts w:ascii="Times New Roman" w:hAnsi="Times New Roman"/>
          <w:lang w:eastAsia="pl-PL"/>
        </w:rPr>
      </w:pPr>
    </w:p>
    <w:p w:rsidR="00553616" w:rsidRDefault="00553616" w:rsidP="002C07B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W imieniu Wykonawcy, którego </w:t>
      </w:r>
      <w:r>
        <w:rPr>
          <w:rFonts w:ascii="Times New Roman" w:hAnsi="Times New Roman"/>
          <w:lang w:eastAsia="pl-PL"/>
        </w:rPr>
        <w:t>reprezentuję</w:t>
      </w:r>
      <w:r w:rsidRPr="00B775EC">
        <w:rPr>
          <w:rFonts w:ascii="Times New Roman" w:hAnsi="Times New Roman"/>
          <w:lang w:eastAsia="pl-PL"/>
        </w:rPr>
        <w:t>:</w:t>
      </w:r>
    </w:p>
    <w:p w:rsidR="00553616" w:rsidRPr="00B52A31" w:rsidRDefault="00553616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oferuję realizację przedmiotu zamówienia w miejsc</w:t>
      </w:r>
      <w:r>
        <w:rPr>
          <w:rFonts w:ascii="Times New Roman" w:hAnsi="Times New Roman"/>
          <w:lang w:eastAsia="pl-PL"/>
        </w:rPr>
        <w:t>u i terminach określonych w pkt</w:t>
      </w:r>
      <w:r w:rsidRPr="00B52A31">
        <w:rPr>
          <w:rFonts w:ascii="Times New Roman" w:hAnsi="Times New Roman"/>
          <w:lang w:eastAsia="pl-PL"/>
        </w:rPr>
        <w:t xml:space="preserve"> 3 zapytania ofertowego,</w:t>
      </w:r>
    </w:p>
    <w:p w:rsidR="00553616" w:rsidRPr="00B52A31" w:rsidRDefault="00553616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 xml:space="preserve">zobowiązuję się do </w:t>
      </w:r>
      <w:r>
        <w:rPr>
          <w:rFonts w:ascii="Times New Roman" w:hAnsi="Times New Roman"/>
          <w:lang w:eastAsia="pl-PL"/>
        </w:rPr>
        <w:t>Podpisania umowy</w:t>
      </w:r>
      <w:r w:rsidRPr="00B52A31">
        <w:rPr>
          <w:rFonts w:ascii="Times New Roman" w:hAnsi="Times New Roman"/>
          <w:lang w:eastAsia="pl-PL"/>
        </w:rPr>
        <w:t xml:space="preserve"> na warunkach określonych we Wzorze umowy stanowiącym </w:t>
      </w:r>
      <w:r w:rsidRPr="00163903">
        <w:rPr>
          <w:rFonts w:ascii="Times New Roman" w:hAnsi="Times New Roman"/>
          <w:i/>
          <w:color w:val="000000"/>
          <w:lang w:eastAsia="pl-PL"/>
        </w:rPr>
        <w:t>załącznik nr 6</w:t>
      </w:r>
      <w:r w:rsidRPr="00163903">
        <w:rPr>
          <w:rFonts w:ascii="Times New Roman" w:hAnsi="Times New Roman"/>
          <w:color w:val="000000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 Zapytania ofertowego</w:t>
      </w:r>
      <w:r>
        <w:rPr>
          <w:rFonts w:ascii="Times New Roman" w:hAnsi="Times New Roman"/>
          <w:color w:val="000000"/>
          <w:lang w:eastAsia="pl-PL"/>
        </w:rPr>
        <w:t>.</w:t>
      </w:r>
    </w:p>
    <w:p w:rsidR="00553616" w:rsidRPr="00B52A31" w:rsidRDefault="00553616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hAnsi="Times New Roman"/>
          <w:lang w:eastAsia="pl-PL"/>
        </w:rPr>
      </w:pPr>
      <w:r w:rsidRPr="00B52A31">
        <w:rPr>
          <w:rFonts w:ascii="Times New Roman" w:hAnsi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</w:p>
    <w:p w:rsidR="00553616" w:rsidRPr="00B775EC" w:rsidRDefault="00553616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553616" w:rsidRPr="00B775EC" w:rsidRDefault="00553616" w:rsidP="00B775EC">
      <w:pPr>
        <w:spacing w:after="0" w:line="240" w:lineRule="auto"/>
        <w:ind w:left="3402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Podpis Wykonawcy albo osoby lub osób uprawionych </w:t>
      </w:r>
    </w:p>
    <w:p w:rsidR="00553616" w:rsidRPr="00B775EC" w:rsidRDefault="00553616" w:rsidP="00B775EC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pl-PL"/>
        </w:rPr>
      </w:pPr>
      <w:r w:rsidRPr="00B775EC"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  <w:r>
        <w:rPr>
          <w:rFonts w:ascii="Times New Roman" w:hAnsi="Times New Roman"/>
          <w:lang w:eastAsia="pl-PL"/>
        </w:rPr>
        <w:t xml:space="preserve">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553616" w:rsidRPr="00B775EC" w:rsidRDefault="00553616" w:rsidP="00B775EC">
      <w:pPr>
        <w:spacing w:after="0" w:line="360" w:lineRule="auto"/>
        <w:ind w:left="3756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553616" w:rsidRPr="00B775EC" w:rsidRDefault="00553616" w:rsidP="00B775EC">
      <w:pPr>
        <w:spacing w:after="0" w:line="360" w:lineRule="auto"/>
        <w:ind w:left="3756"/>
        <w:rPr>
          <w:rFonts w:ascii="Times New Roman" w:hAnsi="Times New Roman"/>
          <w:sz w:val="16"/>
          <w:szCs w:val="16"/>
          <w:lang w:eastAsia="pl-PL"/>
        </w:rPr>
      </w:pPr>
    </w:p>
    <w:p w:rsidR="00553616" w:rsidRPr="002C07B9" w:rsidRDefault="00553616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2C07B9">
        <w:rPr>
          <w:rFonts w:ascii="Times New Roman" w:hAnsi="Times New Roman"/>
          <w:b/>
          <w:bCs/>
          <w:sz w:val="20"/>
          <w:szCs w:val="20"/>
        </w:rPr>
        <w:t xml:space="preserve">* </w:t>
      </w:r>
      <w:r w:rsidRPr="002C07B9">
        <w:rPr>
          <w:rFonts w:ascii="Times New Roman" w:hAnsi="Times New Roman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hAnsi="Times New Roman"/>
          <w:sz w:val="20"/>
          <w:szCs w:val="20"/>
        </w:rPr>
        <w:t xml:space="preserve"> r.</w:t>
      </w:r>
      <w:r w:rsidRPr="002C07B9">
        <w:rPr>
          <w:rFonts w:ascii="Times New Roman" w:hAnsi="Times New Roman"/>
          <w:sz w:val="20"/>
          <w:szCs w:val="20"/>
        </w:rPr>
        <w:t xml:space="preserve">). </w:t>
      </w:r>
    </w:p>
    <w:p w:rsidR="00553616" w:rsidRPr="00464B1E" w:rsidRDefault="00553616" w:rsidP="00464B1E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  <w:lang w:eastAsia="pl-PL"/>
        </w:rPr>
      </w:pPr>
      <w:r w:rsidRPr="002C07B9">
        <w:rPr>
          <w:rFonts w:ascii="Times New Roman" w:hAnsi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hAnsi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53616" w:rsidRPr="00464B1E" w:rsidRDefault="00553616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</w:p>
    <w:p w:rsidR="00553616" w:rsidRPr="00464B1E" w:rsidRDefault="00553616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553616" w:rsidRPr="00306B42" w:rsidRDefault="00553616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53616" w:rsidRPr="00306B42" w:rsidRDefault="00553616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06B42">
        <w:rPr>
          <w:rFonts w:ascii="Times New Roman" w:hAnsi="Times New Roman"/>
          <w:b/>
          <w:bCs/>
          <w:sz w:val="24"/>
          <w:szCs w:val="24"/>
        </w:rPr>
        <w:t>PROGRAM SZKOLENIA</w:t>
      </w:r>
    </w:p>
    <w:p w:rsidR="00553616" w:rsidRPr="00306B42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Pr="00306B42" w:rsidRDefault="00553616" w:rsidP="002C07B9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TYTUŁ SZKOLENIA: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GRUPA DOCELOWA: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 GŁÓWNY: </w:t>
      </w:r>
    </w:p>
    <w:p w:rsidR="00553616" w:rsidRPr="00306B42" w:rsidRDefault="00553616" w:rsidP="002C07B9">
      <w:pPr>
        <w:tabs>
          <w:tab w:val="left" w:pos="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CELE SZCZEGÓŁOWE: </w:t>
      </w:r>
    </w:p>
    <w:p w:rsidR="00553616" w:rsidRPr="00306B42" w:rsidRDefault="00553616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306B42">
        <w:rPr>
          <w:rFonts w:ascii="Times New Roman" w:hAnsi="Times New Roman"/>
          <w:sz w:val="24"/>
          <w:szCs w:val="24"/>
        </w:rPr>
        <w:t xml:space="preserve">METODY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hAnsi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553616" w:rsidRPr="00306B42" w:rsidRDefault="00553616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hAnsi="Times New Roman"/>
          <w:color w:val="1F497D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hAnsi="Times New Roman"/>
          <w:color w:val="1F497D"/>
          <w:sz w:val="24"/>
          <w:szCs w:val="24"/>
        </w:rPr>
        <w:t>np. prezentacja multimedialna, karty pracy, kwestionariusze</w:t>
      </w:r>
    </w:p>
    <w:p w:rsidR="00553616" w:rsidRPr="00306B42" w:rsidRDefault="00553616" w:rsidP="002C07B9">
      <w:pPr>
        <w:tabs>
          <w:tab w:val="left" w:pos="70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306B42">
        <w:rPr>
          <w:rFonts w:ascii="Times New Roman" w:hAnsi="Times New Roman"/>
          <w:bCs/>
          <w:sz w:val="24"/>
          <w:szCs w:val="24"/>
        </w:rPr>
        <w:t>LICZBA GODZIN DYDAKTYCZNYCH: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553616" w:rsidRPr="0068231A" w:rsidTr="00F7614A">
        <w:trPr>
          <w:trHeight w:val="970"/>
          <w:jc w:val="center"/>
        </w:trPr>
        <w:tc>
          <w:tcPr>
            <w:tcW w:w="808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ko-KR"/>
              </w:rPr>
            </w:pPr>
            <w:r w:rsidRPr="0083333A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878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33A">
              <w:rPr>
                <w:rFonts w:ascii="Times New Roman" w:hAnsi="Times New Roman"/>
                <w:b/>
              </w:rPr>
              <w:t>Temat</w:t>
            </w:r>
          </w:p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(części)</w:t>
            </w:r>
          </w:p>
        </w:tc>
        <w:tc>
          <w:tcPr>
            <w:tcW w:w="1984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Metoda dydaktyczna</w:t>
            </w:r>
          </w:p>
        </w:tc>
        <w:tc>
          <w:tcPr>
            <w:tcW w:w="1701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Czas</w:t>
            </w:r>
          </w:p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(godziny dydaktyczne /min)</w:t>
            </w:r>
          </w:p>
        </w:tc>
        <w:tc>
          <w:tcPr>
            <w:tcW w:w="1800" w:type="dxa"/>
            <w:vAlign w:val="center"/>
          </w:tcPr>
          <w:p w:rsidR="00553616" w:rsidRPr="0083333A" w:rsidRDefault="00553616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Uwagi</w:t>
            </w:r>
          </w:p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83333A">
              <w:rPr>
                <w:rFonts w:ascii="Times New Roman" w:hAnsi="Times New Roman"/>
                <w:b/>
              </w:rPr>
              <w:t>(środki dydaktyczne)</w:t>
            </w: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Co jest do zrobienia?</w:t>
            </w: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Jak?</w:t>
            </w: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W jakim czasie?</w:t>
            </w:r>
          </w:p>
        </w:tc>
        <w:tc>
          <w:tcPr>
            <w:tcW w:w="1800" w:type="dxa"/>
          </w:tcPr>
          <w:p w:rsidR="00553616" w:rsidRPr="0083333A" w:rsidRDefault="00553616" w:rsidP="00F7614A">
            <w:pPr>
              <w:spacing w:line="240" w:lineRule="auto"/>
              <w:jc w:val="center"/>
              <w:rPr>
                <w:rFonts w:ascii="Times New Roman" w:hAnsi="Times New Roman"/>
                <w:color w:val="1F497D"/>
                <w:lang w:eastAsia="ko-KR"/>
              </w:rPr>
            </w:pPr>
            <w:r w:rsidRPr="0083333A">
              <w:rPr>
                <w:rFonts w:ascii="Times New Roman" w:hAnsi="Times New Roman"/>
                <w:color w:val="1F497D"/>
              </w:rPr>
              <w:t>Czego potrzebuję?</w:t>
            </w: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33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  <w:tr w:rsidR="00553616" w:rsidRPr="0068231A" w:rsidTr="00F7614A">
        <w:trPr>
          <w:jc w:val="center"/>
        </w:trPr>
        <w:tc>
          <w:tcPr>
            <w:tcW w:w="808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eastAsia="ko-KR"/>
              </w:rPr>
            </w:pPr>
            <w:r w:rsidRPr="0083333A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2878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984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701" w:type="dxa"/>
          </w:tcPr>
          <w:p w:rsidR="00553616" w:rsidRPr="0083333A" w:rsidRDefault="00553616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800" w:type="dxa"/>
          </w:tcPr>
          <w:p w:rsidR="00553616" w:rsidRPr="0083333A" w:rsidRDefault="00553616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lang w:eastAsia="ko-KR"/>
              </w:rPr>
            </w:pPr>
          </w:p>
        </w:tc>
      </w:tr>
    </w:tbl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Pr="00306B42" w:rsidRDefault="00553616" w:rsidP="002C07B9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553616" w:rsidRDefault="00553616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CA9" w:rsidRPr="00464B1E" w:rsidRDefault="00A71CA9" w:rsidP="00A71CA9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lastRenderedPageBreak/>
        <w:t>Załącznik nr 2</w:t>
      </w:r>
      <w:r w:rsidR="00C013A0">
        <w:rPr>
          <w:rFonts w:ascii="Times New Roman" w:hAnsi="Times New Roman"/>
          <w:bCs/>
          <w:i/>
          <w:sz w:val="24"/>
          <w:szCs w:val="24"/>
        </w:rPr>
        <w:t>a</w:t>
      </w:r>
    </w:p>
    <w:p w:rsidR="00A71CA9" w:rsidRPr="00464B1E" w:rsidRDefault="00A71CA9" w:rsidP="00A71CA9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A71CA9" w:rsidRDefault="00A71CA9" w:rsidP="00A71CA9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</w:p>
    <w:p w:rsidR="00A71CA9" w:rsidRDefault="00A71CA9" w:rsidP="00A71CA9">
      <w:pPr>
        <w:spacing w:before="150" w:after="150" w:line="600" w:lineRule="atLeast"/>
        <w:outlineLvl w:val="2"/>
        <w:rPr>
          <w:rFonts w:ascii="Lato" w:eastAsia="Times New Roman" w:hAnsi="Lato"/>
          <w:color w:val="595959"/>
          <w:sz w:val="37"/>
          <w:szCs w:val="37"/>
          <w:lang w:eastAsia="pl-PL"/>
        </w:rPr>
      </w:pPr>
      <w:r>
        <w:rPr>
          <w:rFonts w:ascii="Lato" w:eastAsia="Times New Roman" w:hAnsi="Lato"/>
          <w:color w:val="595959"/>
          <w:sz w:val="37"/>
          <w:szCs w:val="37"/>
          <w:lang w:eastAsia="pl-PL"/>
        </w:rPr>
        <w:t xml:space="preserve">Temat szkolenia: </w:t>
      </w:r>
    </w:p>
    <w:p w:rsidR="00A71CA9" w:rsidRDefault="00A71CA9" w:rsidP="00A71CA9">
      <w:pPr>
        <w:spacing w:before="150" w:after="150"/>
        <w:outlineLvl w:val="2"/>
        <w:rPr>
          <w:rFonts w:ascii="Times New Roman" w:eastAsia="Times New Roman" w:hAnsi="Times New Roman"/>
          <w:b/>
          <w:color w:val="595959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595959"/>
          <w:sz w:val="28"/>
          <w:szCs w:val="28"/>
          <w:u w:val="single"/>
          <w:lang w:eastAsia="pl-PL"/>
        </w:rPr>
        <w:t xml:space="preserve">Czytanie sprawozdań i określenie </w:t>
      </w:r>
      <w:proofErr w:type="spellStart"/>
      <w:r>
        <w:rPr>
          <w:rFonts w:ascii="Times New Roman" w:eastAsia="Times New Roman" w:hAnsi="Times New Roman"/>
          <w:b/>
          <w:color w:val="595959"/>
          <w:sz w:val="28"/>
          <w:szCs w:val="28"/>
          <w:u w:val="single"/>
          <w:lang w:eastAsia="pl-PL"/>
        </w:rPr>
        <w:t>ryzyk</w:t>
      </w:r>
      <w:proofErr w:type="spellEnd"/>
      <w:r>
        <w:rPr>
          <w:rFonts w:ascii="Times New Roman" w:eastAsia="Times New Roman" w:hAnsi="Times New Roman"/>
          <w:b/>
          <w:color w:val="595959"/>
          <w:sz w:val="28"/>
          <w:szCs w:val="28"/>
          <w:u w:val="single"/>
          <w:lang w:eastAsia="pl-PL"/>
        </w:rPr>
        <w:t xml:space="preserve"> podatkowych na podstawie pozycji sprawozdań finansowych</w:t>
      </w:r>
      <w:bookmarkStart w:id="2" w:name="_GoBack"/>
      <w:bookmarkEnd w:id="2"/>
    </w:p>
    <w:p w:rsidR="00A71CA9" w:rsidRDefault="00A71CA9" w:rsidP="00A71CA9">
      <w:pPr>
        <w:spacing w:before="150" w:after="150"/>
        <w:outlineLvl w:val="2"/>
        <w:rPr>
          <w:rFonts w:ascii="Times New Roman" w:eastAsiaTheme="minorHAnsi" w:hAnsi="Times New Roman"/>
          <w:color w:val="808080" w:themeColor="background1" w:themeShade="80"/>
          <w:sz w:val="28"/>
          <w:szCs w:val="28"/>
        </w:rPr>
      </w:pPr>
      <w:r>
        <w:rPr>
          <w:rFonts w:ascii="Times New Roman" w:eastAsia="Times New Roman" w:hAnsi="Times New Roman"/>
          <w:color w:val="808080" w:themeColor="background1" w:themeShade="80"/>
          <w:sz w:val="28"/>
          <w:szCs w:val="28"/>
          <w:lang w:eastAsia="pl-PL"/>
        </w:rPr>
        <w:t>Liczba dni szkoleniowych: 5 dni (36 h lekcyjnych)</w:t>
      </w:r>
    </w:p>
    <w:p w:rsidR="00A71CA9" w:rsidRDefault="00A71CA9" w:rsidP="00A71CA9">
      <w:pPr>
        <w:spacing w:before="150" w:after="150" w:line="240" w:lineRule="auto"/>
        <w:outlineLvl w:val="2"/>
        <w:rPr>
          <w:rFonts w:ascii="Times New Roman" w:eastAsia="Times New Roman" w:hAnsi="Times New Roman" w:cstheme="minorBidi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pl-PL"/>
        </w:rPr>
        <w:t>Zagadnienia tematyczne, które Wykonawca jest zobowiązany ująć w programie szkolenia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426"/>
        <w:rPr>
          <w:rFonts w:ascii="Times New Roman" w:eastAsiaTheme="minorHAnsi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Zasady konstrukcji bilansu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),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426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Zasady konstrukcji  rachunku zysków i strat (RZS)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 w tym:</w:t>
      </w:r>
    </w:p>
    <w:p w:rsidR="00A71CA9" w:rsidRDefault="00A71CA9" w:rsidP="00A71CA9">
      <w:pPr>
        <w:pStyle w:val="Akapitzlist"/>
        <w:numPr>
          <w:ilvl w:val="0"/>
          <w:numId w:val="38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podstawowe układy RZS – różnice merytoryczne i interpretacyjne</w:t>
      </w:r>
    </w:p>
    <w:p w:rsidR="00A71CA9" w:rsidRDefault="00A71CA9" w:rsidP="00A71CA9">
      <w:pPr>
        <w:pStyle w:val="Akapitzlist"/>
        <w:numPr>
          <w:ilvl w:val="0"/>
          <w:numId w:val="38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memoriałowy a gotówkowy wymiar danych finansowych zawartych w RZS</w:t>
      </w:r>
    </w:p>
    <w:p w:rsidR="00A71CA9" w:rsidRDefault="00A71CA9" w:rsidP="00A71CA9">
      <w:pPr>
        <w:pStyle w:val="Akapitzlist"/>
        <w:numPr>
          <w:ilvl w:val="0"/>
          <w:numId w:val="38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pojemność poszczególnych pozycji RZS, podstawowe schematy księgowe i analityczne</w:t>
      </w:r>
    </w:p>
    <w:p w:rsidR="00A71CA9" w:rsidRDefault="00A71CA9" w:rsidP="00A71CA9">
      <w:pPr>
        <w:pStyle w:val="Akapitzlist"/>
        <w:numPr>
          <w:ilvl w:val="0"/>
          <w:numId w:val="38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zestawy technik analitycznych stosowane przy interpretacji RZS bazujące na przepływach pieniężnych</w:t>
      </w:r>
    </w:p>
    <w:p w:rsidR="00A71CA9" w:rsidRDefault="00A71CA9" w:rsidP="00A71CA9">
      <w:pPr>
        <w:pStyle w:val="Akapitzlist"/>
        <w:numPr>
          <w:ilvl w:val="0"/>
          <w:numId w:val="38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wzajemne powiązania i zależności RZS  z bilansem,</w:t>
      </w:r>
    </w:p>
    <w:p w:rsidR="00A71CA9" w:rsidRDefault="00A71CA9" w:rsidP="00A71CA9">
      <w:pPr>
        <w:pStyle w:val="Akapitzlist"/>
        <w:ind w:left="426"/>
        <w:rPr>
          <w:rFonts w:ascii="Times New Roman" w:hAnsi="Times New Roman"/>
          <w:color w:val="808080" w:themeColor="background1" w:themeShade="80"/>
          <w:lang w:eastAsia="pl-PL"/>
        </w:rPr>
      </w:pP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426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Kluczowe pozycje bilansu oraz rachunku zysków i strat – zasady ujmowania i pomiaru, w tym: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rzeczowe aktywa trwałe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wartości niematerialne i prawne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zapasy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należności i zobowiązania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kapitały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rezerwy</w:t>
      </w:r>
    </w:p>
    <w:p w:rsidR="00A71CA9" w:rsidRDefault="00A71CA9" w:rsidP="00A71CA9">
      <w:pPr>
        <w:pStyle w:val="Akapitzlist"/>
        <w:numPr>
          <w:ilvl w:val="0"/>
          <w:numId w:val="39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rozliczenia międzyokresowe </w:t>
      </w:r>
    </w:p>
    <w:p w:rsidR="00A71CA9" w:rsidRDefault="00A71CA9" w:rsidP="00A71CA9">
      <w:pPr>
        <w:pStyle w:val="Akapitzlist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- oraz ich analiza pod kątem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podatkowych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),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284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Zasady ujmowania przychodów i kosztów w wyniku finansowym oraz identyfikacja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podatkowych z tym związanych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),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284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Rachunek przepływów pieniężnych (RPP) a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cash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flow</w:t>
      </w:r>
      <w:proofErr w:type="spellEnd"/>
    </w:p>
    <w:p w:rsidR="00A71CA9" w:rsidRDefault="00A71CA9" w:rsidP="00A71CA9">
      <w:pPr>
        <w:pStyle w:val="Akapitzlist"/>
        <w:numPr>
          <w:ilvl w:val="0"/>
          <w:numId w:val="40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zysk a gotówka w przedsiębiorstwie – zdolność do regulowania zobowiązań</w:t>
      </w:r>
    </w:p>
    <w:p w:rsidR="00A71CA9" w:rsidRDefault="00A71CA9" w:rsidP="00A71CA9">
      <w:pPr>
        <w:pStyle w:val="Akapitzlist"/>
        <w:numPr>
          <w:ilvl w:val="0"/>
          <w:numId w:val="40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analityczne układy rachunku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cash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flow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– identyfikacja  przepływów pieniężnych firmy bezpośrednio z jej sprawozdań finansowych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</w:t>
      </w:r>
    </w:p>
    <w:p w:rsidR="00A71CA9" w:rsidRDefault="00A71CA9" w:rsidP="00A71CA9">
      <w:pPr>
        <w:pStyle w:val="Akapitzlist"/>
        <w:numPr>
          <w:ilvl w:val="0"/>
          <w:numId w:val="40"/>
        </w:numPr>
        <w:spacing w:after="160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identyfikacja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podatkowych na podstawie RPP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284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>Zasady ujmowania podatku dochodowego w sprawozdaniu (podatek bieżący i odroczony)</w:t>
      </w:r>
      <w:r>
        <w:rPr>
          <w:rFonts w:ascii="Times New Roman" w:hAnsi="Times New Roman"/>
          <w:color w:val="808080" w:themeColor="background1" w:themeShade="80"/>
        </w:rPr>
        <w:t xml:space="preserve">  w tym: </w:t>
      </w:r>
    </w:p>
    <w:p w:rsidR="00A71CA9" w:rsidRDefault="00A71CA9" w:rsidP="00A71CA9">
      <w:pPr>
        <w:pStyle w:val="Akapitzlist"/>
        <w:numPr>
          <w:ilvl w:val="0"/>
          <w:numId w:val="41"/>
        </w:numPr>
        <w:spacing w:after="1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>przykładowe zdarzenia wpływające na powstanie rezerw lub aktywów z tytułu odroczonego podatku dochodowego (</w:t>
      </w:r>
      <w:proofErr w:type="spellStart"/>
      <w:r>
        <w:rPr>
          <w:rFonts w:ascii="Times New Roman" w:hAnsi="Times New Roman"/>
          <w:color w:val="808080" w:themeColor="background1" w:themeShade="80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</w:rPr>
        <w:t>) oraz</w:t>
      </w:r>
    </w:p>
    <w:p w:rsidR="00A71CA9" w:rsidRDefault="00A71CA9" w:rsidP="00A71CA9">
      <w:pPr>
        <w:pStyle w:val="Akapitzlist"/>
        <w:numPr>
          <w:ilvl w:val="0"/>
          <w:numId w:val="41"/>
        </w:numPr>
        <w:spacing w:after="1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 xml:space="preserve"> zasady wyceny aktywów i rezerw z tytułu odroczonego podatku dochodowego</w:t>
      </w:r>
    </w:p>
    <w:p w:rsidR="00A71CA9" w:rsidRDefault="00A71CA9" w:rsidP="00A71CA9">
      <w:pPr>
        <w:pStyle w:val="Akapitzlist"/>
        <w:numPr>
          <w:ilvl w:val="0"/>
          <w:numId w:val="41"/>
        </w:numPr>
        <w:spacing w:after="1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identyfikacja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podatkowych w tym zakresie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</w:t>
      </w:r>
    </w:p>
    <w:p w:rsidR="00A71CA9" w:rsidRDefault="00A71CA9" w:rsidP="00A71CA9">
      <w:pPr>
        <w:pStyle w:val="Akapitzlist"/>
        <w:numPr>
          <w:ilvl w:val="0"/>
          <w:numId w:val="41"/>
        </w:numPr>
        <w:spacing w:after="160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/>
          <w:color w:val="808080" w:themeColor="background1" w:themeShade="80"/>
        </w:rPr>
        <w:t>prezentacja odroczonego podatku dochodowego w sprawozdaniu (RZS, bilans)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284"/>
        <w:rPr>
          <w:rFonts w:ascii="Times New Roman" w:hAnsi="Times New Roman"/>
          <w:color w:val="808080" w:themeColor="background1" w:themeShade="80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Analiza informacji dodatkowej pod kątem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podatkowych (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case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study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>)</w:t>
      </w:r>
    </w:p>
    <w:p w:rsidR="00A71CA9" w:rsidRDefault="00A71CA9" w:rsidP="00A71CA9">
      <w:pPr>
        <w:pStyle w:val="Akapitzlist"/>
        <w:numPr>
          <w:ilvl w:val="0"/>
          <w:numId w:val="37"/>
        </w:numPr>
        <w:spacing w:after="160"/>
        <w:ind w:left="284"/>
        <w:rPr>
          <w:rFonts w:ascii="Lato" w:eastAsia="Times New Roman" w:hAnsi="Lato"/>
          <w:color w:val="595959"/>
          <w:sz w:val="23"/>
          <w:szCs w:val="23"/>
          <w:lang w:eastAsia="pl-PL"/>
        </w:rPr>
      </w:pPr>
      <w:r>
        <w:rPr>
          <w:rFonts w:ascii="Times New Roman" w:hAnsi="Times New Roman"/>
          <w:color w:val="808080" w:themeColor="background1" w:themeShade="80"/>
          <w:lang w:eastAsia="pl-PL"/>
        </w:rPr>
        <w:t xml:space="preserve">Sprawozdania jednostkowe i grupowe – podstawy konsolidacji oraz identyfikacja </w:t>
      </w:r>
      <w:proofErr w:type="spellStart"/>
      <w:r>
        <w:rPr>
          <w:rFonts w:ascii="Times New Roman" w:hAnsi="Times New Roman"/>
          <w:color w:val="808080" w:themeColor="background1" w:themeShade="80"/>
          <w:lang w:eastAsia="pl-PL"/>
        </w:rPr>
        <w:t>ryzyk</w:t>
      </w:r>
      <w:proofErr w:type="spellEnd"/>
      <w:r>
        <w:rPr>
          <w:rFonts w:ascii="Times New Roman" w:hAnsi="Times New Roman"/>
          <w:color w:val="808080" w:themeColor="background1" w:themeShade="80"/>
          <w:lang w:eastAsia="pl-PL"/>
        </w:rPr>
        <w:t xml:space="preserve"> </w:t>
      </w:r>
    </w:p>
    <w:p w:rsidR="00A71CA9" w:rsidRDefault="00A71CA9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CA9" w:rsidRDefault="00A71CA9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CA9" w:rsidRDefault="00A71CA9" w:rsidP="002C07B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bookmarkEnd w:id="1"/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do zapytania ofertowego</w:t>
      </w:r>
    </w:p>
    <w:p w:rsidR="00BF3937" w:rsidRPr="00464B1E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BF3937" w:rsidRPr="00306B42" w:rsidRDefault="00BF3937" w:rsidP="00BF3937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06B42">
        <w:rPr>
          <w:rFonts w:ascii="Times New Roman" w:hAnsi="Times New Roman"/>
          <w:b/>
          <w:sz w:val="24"/>
          <w:szCs w:val="24"/>
        </w:rPr>
        <w:t>WYKAZ</w:t>
      </w:r>
      <w:r>
        <w:rPr>
          <w:rFonts w:ascii="Times New Roman" w:hAnsi="Times New Roman"/>
          <w:b/>
          <w:sz w:val="24"/>
          <w:szCs w:val="24"/>
        </w:rPr>
        <w:t xml:space="preserve">  OSÓB SKIEROWANYCH DO REALIZACJI ZAMÓWIENIA</w:t>
      </w:r>
    </w:p>
    <w:p w:rsidR="00BF3937" w:rsidRDefault="00BF3937" w:rsidP="00BF393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Imię i nazwisko wykładowcy</w:t>
      </w:r>
      <w:r>
        <w:rPr>
          <w:rFonts w:ascii="Times New Roman" w:hAnsi="Times New Roman"/>
          <w:b/>
          <w:color w:val="000000"/>
          <w:sz w:val="24"/>
          <w:szCs w:val="24"/>
        </w:rPr>
        <w:t>: …………………………………………………………………..</w:t>
      </w:r>
    </w:p>
    <w:p w:rsidR="00BF3937" w:rsidRDefault="00BF3937" w:rsidP="00BF393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0317D8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D0A1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specjalista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zakresie analizy sprawozdań finansowych i prawa podatkowego</w:t>
      </w:r>
      <w:r w:rsidR="007D0A1D">
        <w:rPr>
          <w:rFonts w:ascii="Times New Roman" w:hAnsi="Times New Roman"/>
          <w:bCs/>
          <w:color w:val="000000"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9662A0" w:rsidRDefault="009662A0" w:rsidP="00BF3937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BF3937" w:rsidRPr="009662A0" w:rsidRDefault="00BF3937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DA2">
        <w:rPr>
          <w:rFonts w:ascii="Times New Roman" w:hAnsi="Times New Roman"/>
          <w:b/>
          <w:color w:val="000000"/>
          <w:sz w:val="24"/>
          <w:szCs w:val="24"/>
        </w:rPr>
        <w:t xml:space="preserve">Doświadczenie dydaktyczne </w:t>
      </w:r>
      <w:r>
        <w:rPr>
          <w:rFonts w:ascii="Times New Roman" w:hAnsi="Times New Roman"/>
          <w:b/>
          <w:sz w:val="24"/>
          <w:szCs w:val="24"/>
        </w:rPr>
        <w:t>(</w:t>
      </w:r>
      <w:r w:rsidRPr="008070E3">
        <w:rPr>
          <w:rFonts w:ascii="Times New Roman" w:hAnsi="Times New Roman"/>
          <w:sz w:val="24"/>
          <w:szCs w:val="24"/>
        </w:rPr>
        <w:t>co najmniej 2 lata</w:t>
      </w:r>
      <w:r w:rsidRPr="009662A0">
        <w:rPr>
          <w:rFonts w:ascii="Times New Roman" w:hAnsi="Times New Roman"/>
          <w:sz w:val="24"/>
          <w:szCs w:val="24"/>
        </w:rPr>
        <w:t>)</w:t>
      </w:r>
      <w:r w:rsidRPr="009662A0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9662A0" w:rsidRDefault="009662A0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 w:rsidRPr="009662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9662A0" w:rsidRPr="009662A0" w:rsidRDefault="009662A0" w:rsidP="009662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5F71" w:rsidRDefault="004F6A92" w:rsidP="00BF3937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4F6A92">
        <w:rPr>
          <w:rFonts w:ascii="Times New Roman" w:hAnsi="Times New Roman"/>
          <w:b/>
          <w:sz w:val="24"/>
          <w:szCs w:val="24"/>
        </w:rPr>
        <w:t>Doświadczenie praktyczne</w:t>
      </w:r>
      <w:r w:rsidR="001D5F71">
        <w:rPr>
          <w:rFonts w:ascii="Times New Roman" w:hAnsi="Times New Roman"/>
          <w:b/>
          <w:sz w:val="24"/>
          <w:szCs w:val="24"/>
        </w:rPr>
        <w:t xml:space="preserve"> (</w:t>
      </w:r>
      <w:r w:rsidRPr="00E20DFA">
        <w:rPr>
          <w:rFonts w:ascii="Times New Roman" w:hAnsi="Times New Roman"/>
          <w:sz w:val="24"/>
          <w:szCs w:val="24"/>
        </w:rPr>
        <w:t>co najmniej 5 lat</w:t>
      </w:r>
      <w:r>
        <w:rPr>
          <w:rFonts w:ascii="Times New Roman" w:hAnsi="Times New Roman"/>
          <w:b/>
          <w:sz w:val="24"/>
          <w:szCs w:val="24"/>
        </w:rPr>
        <w:t>)</w:t>
      </w:r>
      <w:r w:rsidR="001D5F71" w:rsidRP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………………………………………………….</w:t>
      </w:r>
    </w:p>
    <w:p w:rsidR="009662A0" w:rsidRDefault="009662A0" w:rsidP="00BF3937">
      <w:pPr>
        <w:spacing w:after="0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ab/>
        <w:t xml:space="preserve">         </w:t>
      </w:r>
      <w:r w:rsidRPr="009662A0">
        <w:rPr>
          <w:rFonts w:ascii="Times New Roman" w:hAnsi="Times New Roman"/>
          <w:sz w:val="20"/>
          <w:szCs w:val="20"/>
        </w:rPr>
        <w:t>(proszę wpisać liczbę lat)</w:t>
      </w:r>
    </w:p>
    <w:p w:rsidR="001D5F71" w:rsidRPr="004F6A92" w:rsidRDefault="001D5F71" w:rsidP="00BF39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3937" w:rsidRPr="008070E3" w:rsidRDefault="00BF3937" w:rsidP="001D5F71">
      <w:pPr>
        <w:spacing w:after="0"/>
        <w:rPr>
          <w:rFonts w:ascii="Times New Roman" w:hAnsi="Times New Roman"/>
          <w:bCs/>
          <w:sz w:val="24"/>
          <w:szCs w:val="24"/>
        </w:rPr>
      </w:pPr>
      <w:r w:rsidRPr="001D5F71">
        <w:rPr>
          <w:rFonts w:ascii="Times New Roman" w:hAnsi="Times New Roman"/>
          <w:b/>
          <w:sz w:val="24"/>
          <w:szCs w:val="24"/>
          <w:u w:val="single"/>
        </w:rPr>
        <w:t xml:space="preserve">Wykaz przeprowadzonych szkoleń </w:t>
      </w:r>
      <w:r w:rsidR="001D5F71" w:rsidRPr="001D5F71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w zakresie analizy sprawozdań finansowych i prawa podatkowego</w:t>
      </w:r>
      <w:r w:rsidR="001D5F71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8070E3">
        <w:rPr>
          <w:rFonts w:ascii="Times New Roman" w:hAnsi="Times New Roman"/>
          <w:bCs/>
          <w:sz w:val="24"/>
          <w:szCs w:val="24"/>
        </w:rPr>
        <w:t>na p</w:t>
      </w:r>
      <w:r>
        <w:rPr>
          <w:rFonts w:ascii="Times New Roman" w:hAnsi="Times New Roman"/>
          <w:bCs/>
          <w:sz w:val="24"/>
          <w:szCs w:val="24"/>
        </w:rPr>
        <w:t>otwierdzenie spełnienia warunku</w:t>
      </w:r>
      <w:r w:rsidRPr="008070E3">
        <w:rPr>
          <w:rFonts w:ascii="Times New Roman" w:hAnsi="Times New Roman"/>
          <w:bCs/>
          <w:sz w:val="24"/>
          <w:szCs w:val="24"/>
        </w:rPr>
        <w:t xml:space="preserve"> udziału w postępowaniu, określonego w pkt 2.1  zapytania ofertowego o</w:t>
      </w:r>
      <w:r>
        <w:rPr>
          <w:rFonts w:ascii="Times New Roman" w:hAnsi="Times New Roman"/>
          <w:bCs/>
          <w:sz w:val="24"/>
          <w:szCs w:val="24"/>
        </w:rPr>
        <w:t>raz do</w:t>
      </w:r>
      <w:r w:rsidRPr="008070E3">
        <w:rPr>
          <w:rFonts w:ascii="Times New Roman" w:hAnsi="Times New Roman"/>
          <w:bCs/>
          <w:sz w:val="24"/>
          <w:szCs w:val="24"/>
        </w:rPr>
        <w:t xml:space="preserve"> oceny </w:t>
      </w:r>
      <w:r>
        <w:rPr>
          <w:rFonts w:ascii="Times New Roman" w:hAnsi="Times New Roman"/>
          <w:bCs/>
          <w:sz w:val="24"/>
          <w:szCs w:val="24"/>
        </w:rPr>
        <w:t xml:space="preserve">oferty w </w:t>
      </w:r>
      <w:r w:rsidRPr="008070E3">
        <w:rPr>
          <w:rFonts w:ascii="Times New Roman" w:hAnsi="Times New Roman"/>
          <w:bCs/>
          <w:sz w:val="24"/>
          <w:szCs w:val="24"/>
        </w:rPr>
        <w:t>kryterium „Doświadczenie wykładowcy” określonym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70E3">
        <w:rPr>
          <w:rFonts w:ascii="Times New Roman" w:hAnsi="Times New Roman"/>
          <w:bCs/>
          <w:sz w:val="24"/>
          <w:szCs w:val="24"/>
        </w:rPr>
        <w:t>pkt 6 zapytania ofertowego</w:t>
      </w:r>
      <w:r>
        <w:rPr>
          <w:rFonts w:ascii="Times New Roman" w:hAnsi="Times New Roman"/>
          <w:bCs/>
          <w:sz w:val="24"/>
          <w:szCs w:val="24"/>
        </w:rPr>
        <w:t>)</w:t>
      </w:r>
      <w:r w:rsidR="001D5F71">
        <w:rPr>
          <w:rFonts w:ascii="Times New Roman" w:hAnsi="Times New Roman"/>
          <w:bCs/>
          <w:sz w:val="24"/>
          <w:szCs w:val="24"/>
        </w:rPr>
        <w:t>.</w:t>
      </w:r>
    </w:p>
    <w:p w:rsidR="00BF3937" w:rsidRPr="00652DA2" w:rsidRDefault="00BF3937" w:rsidP="00BF393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F3937" w:rsidRPr="000317D8" w:rsidRDefault="00BF3937" w:rsidP="00BF393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  <w:r w:rsidRPr="00C627A0">
              <w:rPr>
                <w:rFonts w:ascii="Times New Roman" w:hAnsi="Times New Roman"/>
                <w:b/>
              </w:rPr>
              <w:t>Termin szkolenia</w:t>
            </w: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 w:rsidRPr="00C627A0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  <w:tr w:rsidR="00BF3937" w:rsidRPr="00C627A0" w:rsidTr="009C40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37" w:rsidRPr="00C627A0" w:rsidRDefault="00BF3937" w:rsidP="009C40BE">
            <w:pPr>
              <w:ind w:right="-2"/>
              <w:rPr>
                <w:rFonts w:ascii="Times New Roman" w:hAnsi="Times New Roman"/>
                <w:b/>
              </w:rPr>
            </w:pPr>
          </w:p>
        </w:tc>
      </w:tr>
    </w:tbl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Pr="00C627A0" w:rsidRDefault="00BF3937" w:rsidP="00BF3937">
      <w:pPr>
        <w:ind w:right="-2"/>
        <w:jc w:val="both"/>
        <w:rPr>
          <w:rFonts w:ascii="Times New Roman" w:hAnsi="Times New Roman"/>
          <w:b/>
        </w:rPr>
      </w:pPr>
      <w:r w:rsidRPr="00C627A0">
        <w:rPr>
          <w:rFonts w:ascii="Times New Roman" w:hAnsi="Times New Roman"/>
          <w:b/>
        </w:rPr>
        <w:t xml:space="preserve">Do każdej zrealizowanej usługi </w:t>
      </w:r>
      <w:r>
        <w:rPr>
          <w:rFonts w:ascii="Times New Roman" w:hAnsi="Times New Roman"/>
          <w:b/>
        </w:rPr>
        <w:t xml:space="preserve">szkoleniowej </w:t>
      </w:r>
      <w:r w:rsidRPr="00C627A0">
        <w:rPr>
          <w:rFonts w:ascii="Times New Roman" w:hAnsi="Times New Roman"/>
          <w:b/>
        </w:rPr>
        <w:t>wymienionej powyżej należy dołączyć dokument potwierdzający, że usługa została wykonana należycie (np. referencje).</w:t>
      </w:r>
    </w:p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Default="00BF3937" w:rsidP="00BF3937">
      <w:pPr>
        <w:ind w:right="-2"/>
        <w:rPr>
          <w:rFonts w:ascii="Times New Roman" w:hAnsi="Times New Roman"/>
          <w:b/>
        </w:rPr>
      </w:pPr>
    </w:p>
    <w:p w:rsidR="00BF3937" w:rsidRDefault="00BF3937" w:rsidP="00BF3937">
      <w:pPr>
        <w:autoSpaceDE w:val="0"/>
        <w:rPr>
          <w:rFonts w:ascii="Times New Roman" w:hAnsi="Times New Roman"/>
          <w:b/>
        </w:rPr>
      </w:pP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BF3937" w:rsidRDefault="00BF3937" w:rsidP="00BF3937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BF3937" w:rsidRPr="0080670D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hAnsi="Times New Roman"/>
          <w:sz w:val="16"/>
          <w:szCs w:val="16"/>
          <w:lang w:eastAsia="pl-PL"/>
        </w:rPr>
        <w:br w:type="page"/>
      </w:r>
    </w:p>
    <w:p w:rsidR="00BF3937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F3937" w:rsidRPr="00464B1E" w:rsidRDefault="00BF3937" w:rsidP="00BF3937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>
        <w:rPr>
          <w:rFonts w:ascii="Times New Roman" w:hAnsi="Times New Roman"/>
          <w:i/>
          <w:sz w:val="24"/>
          <w:szCs w:val="24"/>
          <w:lang w:eastAsia="ko-KR"/>
        </w:rPr>
        <w:t>Załącznik nr 4</w:t>
      </w:r>
    </w:p>
    <w:p w:rsidR="00BF3937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BF3937" w:rsidRPr="00464B1E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 w:rsidRPr="009728E8">
        <w:rPr>
          <w:rFonts w:ascii="Times New Roman" w:hAnsi="Times New Roman"/>
          <w:color w:val="000000"/>
          <w:lang w:eastAsia="ko-KR"/>
        </w:rPr>
        <w:t>.....................................</w:t>
      </w: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lang w:eastAsia="ko-KR"/>
        </w:rPr>
      </w:pPr>
      <w:r>
        <w:rPr>
          <w:rFonts w:ascii="Times New Roman" w:hAnsi="Times New Roman"/>
          <w:color w:val="000000"/>
          <w:lang w:eastAsia="ko-KR"/>
        </w:rPr>
        <w:t xml:space="preserve">  </w:t>
      </w:r>
      <w:r w:rsidRPr="009728E8">
        <w:rPr>
          <w:rFonts w:ascii="Times New Roman" w:hAnsi="Times New Roman"/>
          <w:color w:val="000000"/>
          <w:lang w:eastAsia="ko-KR"/>
        </w:rPr>
        <w:t>Pieczęć Wykonawcy</w:t>
      </w: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lang w:eastAsia="ko-KR"/>
        </w:rPr>
      </w:pPr>
    </w:p>
    <w:p w:rsidR="00BF3937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BF3937" w:rsidRPr="00AA18CD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ko-KR"/>
        </w:rPr>
      </w:pPr>
    </w:p>
    <w:p w:rsidR="00BF3937" w:rsidRPr="00AA18CD" w:rsidRDefault="00BF3937" w:rsidP="00BF3937">
      <w:pPr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iu warunków udziału w postępowaniu</w:t>
      </w:r>
      <w:r w:rsidRPr="00AA18CD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Pr="001C31C6"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szkoleń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ko-KR"/>
        </w:rPr>
        <w:t>:</w:t>
      </w:r>
      <w:r w:rsidRPr="002D1EBC">
        <w:rPr>
          <w:rFonts w:ascii="Times New Roman" w:hAnsi="Times New Roman"/>
          <w:b/>
          <w:sz w:val="24"/>
          <w:szCs w:val="24"/>
        </w:rPr>
        <w:t xml:space="preserve"> </w:t>
      </w:r>
      <w:r w:rsidR="001D5F71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Czytanie sprawozdań i określenie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ryzyk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podatkowych na podstawie pozycji sprawozdań finansowych” 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Niniejszym oświadczam, że spełniam warunki udziału w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postępowaniu</w:t>
      </w: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BF3937" w:rsidRPr="00AA18CD" w:rsidRDefault="00BF3937" w:rsidP="00BF3937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hAnsi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BF3937" w:rsidRPr="009728E8" w:rsidRDefault="00BF3937" w:rsidP="00BF3937">
      <w:pPr>
        <w:tabs>
          <w:tab w:val="left" w:pos="851"/>
        </w:tabs>
        <w:spacing w:before="120" w:after="0" w:line="360" w:lineRule="auto"/>
        <w:jc w:val="both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tabs>
          <w:tab w:val="left" w:pos="851"/>
        </w:tabs>
        <w:spacing w:after="0"/>
        <w:jc w:val="right"/>
        <w:rPr>
          <w:rFonts w:ascii="Times New Roman" w:hAnsi="Times New Roman"/>
          <w:color w:val="000000"/>
          <w:lang w:eastAsia="ko-KR"/>
        </w:rPr>
      </w:pPr>
    </w:p>
    <w:p w:rsidR="00BF3937" w:rsidRPr="009728E8" w:rsidRDefault="00BF3937" w:rsidP="00BF3937">
      <w:pPr>
        <w:spacing w:after="0"/>
        <w:jc w:val="both"/>
        <w:rPr>
          <w:rFonts w:ascii="Times New Roman" w:hAnsi="Times New Roman"/>
          <w:b/>
          <w:color w:val="000000"/>
          <w:lang w:eastAsia="pl-PL"/>
        </w:rPr>
      </w:pPr>
    </w:p>
    <w:p w:rsidR="00BF3937" w:rsidRPr="00B775EC" w:rsidRDefault="00BF3937" w:rsidP="00BF3937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…………………………………………………………………</w:t>
      </w:r>
    </w:p>
    <w:p w:rsidR="00BF3937" w:rsidRPr="00B775EC" w:rsidRDefault="00BF3937" w:rsidP="00BF3937">
      <w:pPr>
        <w:spacing w:after="0" w:line="240" w:lineRule="auto"/>
        <w:ind w:left="3402"/>
        <w:jc w:val="center"/>
        <w:rPr>
          <w:rFonts w:ascii="Times New Roman" w:hAnsi="Times New Roman"/>
          <w:lang w:eastAsia="pl-PL"/>
        </w:rPr>
      </w:pPr>
      <w:r w:rsidRPr="00B775EC">
        <w:rPr>
          <w:rFonts w:ascii="Times New Roman" w:hAnsi="Times New Roman"/>
          <w:lang w:eastAsia="pl-PL"/>
        </w:rPr>
        <w:t>Podpis Wykonawcy albo osoby lub osób uprawionych</w:t>
      </w:r>
    </w:p>
    <w:p w:rsidR="00BF3937" w:rsidRDefault="00BF3937" w:rsidP="00BF393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hAnsi="Times New Roman"/>
          <w:lang w:eastAsia="pl-PL"/>
        </w:rPr>
        <w:t>do reprezentowania Wykonawcy</w:t>
      </w:r>
    </w:p>
    <w:p w:rsidR="00BF3937" w:rsidRDefault="00BF3937" w:rsidP="00BF3937">
      <w:pPr>
        <w:spacing w:before="100" w:beforeAutospacing="1" w:after="100" w:afterAutospacing="1"/>
        <w:ind w:left="360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  <w:lang w:eastAsia="ko-KR"/>
        </w:rPr>
      </w:pPr>
    </w:p>
    <w:p w:rsidR="00BF3937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BF3937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</w:p>
    <w:p w:rsidR="00BF3937" w:rsidRPr="00464B1E" w:rsidRDefault="00BF3937" w:rsidP="00BF3937">
      <w:pPr>
        <w:spacing w:after="0"/>
        <w:jc w:val="right"/>
        <w:rPr>
          <w:rFonts w:ascii="Times New Roman" w:hAnsi="Times New Roman"/>
          <w:i/>
          <w:sz w:val="24"/>
          <w:szCs w:val="24"/>
          <w:lang w:eastAsia="ko-KR"/>
        </w:rPr>
      </w:pPr>
      <w:r w:rsidRPr="00464B1E">
        <w:rPr>
          <w:rFonts w:ascii="Times New Roman" w:hAnsi="Times New Roman"/>
          <w:i/>
          <w:sz w:val="24"/>
          <w:szCs w:val="24"/>
          <w:lang w:eastAsia="ko-KR"/>
        </w:rPr>
        <w:t xml:space="preserve">Załącznik nr </w:t>
      </w:r>
      <w:r>
        <w:rPr>
          <w:rFonts w:ascii="Times New Roman" w:hAnsi="Times New Roman"/>
          <w:i/>
          <w:sz w:val="24"/>
          <w:szCs w:val="24"/>
          <w:lang w:eastAsia="ko-KR"/>
        </w:rPr>
        <w:t>5</w:t>
      </w:r>
    </w:p>
    <w:p w:rsidR="00BF3937" w:rsidRPr="00464B1E" w:rsidRDefault="00BF3937" w:rsidP="00BF3937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64B1E">
        <w:rPr>
          <w:rFonts w:ascii="Times New Roman" w:hAnsi="Times New Roman"/>
          <w:bCs/>
          <w:i/>
          <w:sz w:val="24"/>
          <w:szCs w:val="24"/>
        </w:rPr>
        <w:t>do zapytania ofertowego</w:t>
      </w:r>
    </w:p>
    <w:p w:rsidR="00BF3937" w:rsidRPr="00306B42" w:rsidRDefault="00BF3937" w:rsidP="00BF3937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ko-KR"/>
        </w:rPr>
      </w:pPr>
    </w:p>
    <w:p w:rsidR="00BF3937" w:rsidRPr="00361332" w:rsidRDefault="00BF3937" w:rsidP="00BF3937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lang w:eastAsia="ko-KR"/>
        </w:rPr>
      </w:pPr>
    </w:p>
    <w:p w:rsidR="00BF3937" w:rsidRPr="00361332" w:rsidRDefault="00BF3937" w:rsidP="00BF3937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pacing w:val="60"/>
          <w:lang w:eastAsia="ko-KR"/>
        </w:rPr>
      </w:pPr>
      <w:r>
        <w:rPr>
          <w:rFonts w:ascii="Times New Roman" w:hAnsi="Times New Roman"/>
          <w:b/>
          <w:spacing w:val="60"/>
          <w:lang w:eastAsia="ko-KR"/>
        </w:rPr>
        <w:t>KWALIFIKACJE</w:t>
      </w:r>
      <w:r w:rsidRPr="00306B42">
        <w:rPr>
          <w:rFonts w:ascii="Times New Roman" w:hAnsi="Times New Roman"/>
          <w:b/>
          <w:spacing w:val="60"/>
          <w:lang w:eastAsia="ko-KR"/>
        </w:rPr>
        <w:t xml:space="preserve"> ZAWODOW</w:t>
      </w:r>
      <w:r>
        <w:rPr>
          <w:rFonts w:ascii="Times New Roman" w:hAnsi="Times New Roman"/>
          <w:b/>
          <w:spacing w:val="60"/>
          <w:lang w:eastAsia="ko-KR"/>
        </w:rPr>
        <w:t>E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b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Imię i nazwisko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Miejsce pracy i stanowisko 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 xml:space="preserve">Wykształcenie i tytuł naukowy 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714C9C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714C9C">
        <w:rPr>
          <w:rFonts w:ascii="Times New Roman" w:hAnsi="Times New Roman"/>
          <w:lang w:eastAsia="ko-KR"/>
        </w:rPr>
        <w:t>Zakres tematyczny i rodzaj prowadzonych zajęć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...............</w:t>
      </w:r>
      <w:r w:rsidRPr="00306B42">
        <w:rPr>
          <w:rFonts w:ascii="Times New Roman" w:hAnsi="Times New Roman"/>
          <w:lang w:eastAsia="ko-KR"/>
        </w:rPr>
        <w:t>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Doświadczenie zawodowe</w:t>
      </w:r>
      <w:r>
        <w:rPr>
          <w:rFonts w:ascii="Times New Roman" w:hAnsi="Times New Roman"/>
          <w:lang w:eastAsia="ko-KR"/>
        </w:rPr>
        <w:t xml:space="preserve"> </w:t>
      </w:r>
      <w:r w:rsidRPr="00306B42">
        <w:rPr>
          <w:rFonts w:ascii="Times New Roman" w:hAnsi="Times New Roman"/>
          <w:lang w:eastAsia="ko-KR"/>
        </w:rPr>
        <w:t>i przebieg pracy dydaktycznej</w:t>
      </w:r>
      <w:r>
        <w:rPr>
          <w:rFonts w:ascii="Times New Roman" w:hAnsi="Times New Roman"/>
          <w:lang w:eastAsia="ko-KR"/>
        </w:rPr>
        <w:t xml:space="preserve"> z zakresu zarządzania ryzykiem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Pr="00306B42" w:rsidRDefault="00BF3937" w:rsidP="00BF3937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Publikacje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  <w:r w:rsidRPr="00306B42"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  <w:r w:rsidRPr="00306B42">
        <w:rPr>
          <w:rFonts w:ascii="Times New Roman" w:hAnsi="Times New Roman"/>
          <w:lang w:eastAsia="ko-KR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ko-KR"/>
        </w:rPr>
        <w:t>..............</w:t>
      </w:r>
    </w:p>
    <w:p w:rsidR="00BF3937" w:rsidRPr="00306B42" w:rsidRDefault="00BF3937" w:rsidP="00BF3937">
      <w:pPr>
        <w:tabs>
          <w:tab w:val="left" w:pos="851"/>
        </w:tabs>
        <w:spacing w:after="0"/>
        <w:jc w:val="both"/>
        <w:rPr>
          <w:rFonts w:ascii="Times New Roman" w:hAnsi="Times New Roman"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 w:rsidRPr="00AC2C35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F3937" w:rsidRPr="00AC2C35" w:rsidRDefault="00BF3937" w:rsidP="00BF3937">
      <w:pPr>
        <w:autoSpaceDE w:val="0"/>
        <w:spacing w:after="0"/>
        <w:jc w:val="center"/>
        <w:rPr>
          <w:rFonts w:ascii="Times New Roman" w:hAnsi="Times New Roman"/>
        </w:rPr>
      </w:pPr>
      <w:r w:rsidRPr="00AC2C3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</w:t>
      </w:r>
      <w:r w:rsidRPr="00AC2C35">
        <w:rPr>
          <w:rFonts w:ascii="Times New Roman" w:hAnsi="Times New Roman"/>
        </w:rPr>
        <w:t xml:space="preserve">Podpis Wykonawcy albo osoby lub osób uprawionych </w:t>
      </w:r>
    </w:p>
    <w:p w:rsidR="00BF3937" w:rsidRDefault="00BF3937" w:rsidP="00BF3937">
      <w:pPr>
        <w:autoSpaceDE w:val="0"/>
        <w:spacing w:after="0"/>
        <w:jc w:val="center"/>
        <w:rPr>
          <w:rFonts w:ascii="Times New Roman" w:hAnsi="Times New Roman"/>
          <w:b/>
        </w:rPr>
      </w:pPr>
      <w:r w:rsidRPr="00AC2C35">
        <w:rPr>
          <w:rFonts w:ascii="Times New Roman" w:hAnsi="Times New Roman"/>
        </w:rPr>
        <w:t xml:space="preserve">                                                          do reprezentowania Wykonawcy</w:t>
      </w: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BF3937" w:rsidRDefault="00BF3937" w:rsidP="00BF393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p w:rsidR="00553616" w:rsidRDefault="00553616" w:rsidP="00870AE5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ko-KR"/>
        </w:rPr>
      </w:pPr>
    </w:p>
    <w:sectPr w:rsidR="00553616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381A"/>
    <w:multiLevelType w:val="hybridMultilevel"/>
    <w:tmpl w:val="E66EA9D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0AF4B36"/>
    <w:multiLevelType w:val="hybridMultilevel"/>
    <w:tmpl w:val="3732D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9306FE5"/>
    <w:multiLevelType w:val="hybridMultilevel"/>
    <w:tmpl w:val="C698698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F60D89"/>
    <w:multiLevelType w:val="hybridMultilevel"/>
    <w:tmpl w:val="F74263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8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D807B8"/>
    <w:multiLevelType w:val="hybridMultilevel"/>
    <w:tmpl w:val="8F5EB10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6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26"/>
  </w:num>
  <w:num w:numId="12">
    <w:abstractNumId w:val="35"/>
    <w:lvlOverride w:ilvl="0">
      <w:startOverride w:val="1"/>
    </w:lvlOverride>
  </w:num>
  <w:num w:numId="13">
    <w:abstractNumId w:val="19"/>
  </w:num>
  <w:num w:numId="14">
    <w:abstractNumId w:val="38"/>
  </w:num>
  <w:num w:numId="15">
    <w:abstractNumId w:val="36"/>
  </w:num>
  <w:num w:numId="16">
    <w:abstractNumId w:val="17"/>
  </w:num>
  <w:num w:numId="17">
    <w:abstractNumId w:val="7"/>
  </w:num>
  <w:num w:numId="18">
    <w:abstractNumId w:val="8"/>
  </w:num>
  <w:num w:numId="19">
    <w:abstractNumId w:val="0"/>
  </w:num>
  <w:num w:numId="20">
    <w:abstractNumId w:val="9"/>
  </w:num>
  <w:num w:numId="21">
    <w:abstractNumId w:val="13"/>
  </w:num>
  <w:num w:numId="22">
    <w:abstractNumId w:val="32"/>
  </w:num>
  <w:num w:numId="23">
    <w:abstractNumId w:val="1"/>
  </w:num>
  <w:num w:numId="24">
    <w:abstractNumId w:val="37"/>
  </w:num>
  <w:num w:numId="25">
    <w:abstractNumId w:val="14"/>
  </w:num>
  <w:num w:numId="26">
    <w:abstractNumId w:val="18"/>
  </w:num>
  <w:num w:numId="27">
    <w:abstractNumId w:val="20"/>
  </w:num>
  <w:num w:numId="28">
    <w:abstractNumId w:val="21"/>
  </w:num>
  <w:num w:numId="29">
    <w:abstractNumId w:val="34"/>
  </w:num>
  <w:num w:numId="30">
    <w:abstractNumId w:val="2"/>
  </w:num>
  <w:num w:numId="31">
    <w:abstractNumId w:val="24"/>
  </w:num>
  <w:num w:numId="32">
    <w:abstractNumId w:val="23"/>
  </w:num>
  <w:num w:numId="33">
    <w:abstractNumId w:val="10"/>
  </w:num>
  <w:num w:numId="34">
    <w:abstractNumId w:val="31"/>
  </w:num>
  <w:num w:numId="35">
    <w:abstractNumId w:val="4"/>
  </w:num>
  <w:num w:numId="36">
    <w:abstractNumId w:val="29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D5420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282E"/>
    <w:rsid w:val="001930DF"/>
    <w:rsid w:val="001A1763"/>
    <w:rsid w:val="001C31C6"/>
    <w:rsid w:val="001D5F71"/>
    <w:rsid w:val="001F2C25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C45FE"/>
    <w:rsid w:val="002F1171"/>
    <w:rsid w:val="002F3615"/>
    <w:rsid w:val="0030377C"/>
    <w:rsid w:val="00306B42"/>
    <w:rsid w:val="003160F0"/>
    <w:rsid w:val="00322C36"/>
    <w:rsid w:val="00346228"/>
    <w:rsid w:val="003528B7"/>
    <w:rsid w:val="00361332"/>
    <w:rsid w:val="003645A2"/>
    <w:rsid w:val="003A289A"/>
    <w:rsid w:val="003B3E7F"/>
    <w:rsid w:val="003D1D84"/>
    <w:rsid w:val="003F30A6"/>
    <w:rsid w:val="003F66D9"/>
    <w:rsid w:val="00421480"/>
    <w:rsid w:val="00421CBC"/>
    <w:rsid w:val="0042590D"/>
    <w:rsid w:val="004539C8"/>
    <w:rsid w:val="0045597F"/>
    <w:rsid w:val="00464B1E"/>
    <w:rsid w:val="004A44F6"/>
    <w:rsid w:val="004A654E"/>
    <w:rsid w:val="004D2A76"/>
    <w:rsid w:val="004F666F"/>
    <w:rsid w:val="004F6A92"/>
    <w:rsid w:val="005033F0"/>
    <w:rsid w:val="005037F1"/>
    <w:rsid w:val="00517CDA"/>
    <w:rsid w:val="00524DFC"/>
    <w:rsid w:val="005309CC"/>
    <w:rsid w:val="005421C8"/>
    <w:rsid w:val="00553616"/>
    <w:rsid w:val="005A1A34"/>
    <w:rsid w:val="005B521D"/>
    <w:rsid w:val="005E73BE"/>
    <w:rsid w:val="005F62E9"/>
    <w:rsid w:val="006257D4"/>
    <w:rsid w:val="00625AFC"/>
    <w:rsid w:val="00632B24"/>
    <w:rsid w:val="00655035"/>
    <w:rsid w:val="006616AA"/>
    <w:rsid w:val="00671704"/>
    <w:rsid w:val="0068231A"/>
    <w:rsid w:val="006A1549"/>
    <w:rsid w:val="006A42C4"/>
    <w:rsid w:val="006B30AF"/>
    <w:rsid w:val="006D008C"/>
    <w:rsid w:val="006D0E25"/>
    <w:rsid w:val="006E265B"/>
    <w:rsid w:val="007353E4"/>
    <w:rsid w:val="00743535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A45F6"/>
    <w:rsid w:val="007B50BC"/>
    <w:rsid w:val="007C2B15"/>
    <w:rsid w:val="007C7BB7"/>
    <w:rsid w:val="007D0A1D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D3A3D"/>
    <w:rsid w:val="008D6FD5"/>
    <w:rsid w:val="008E62F4"/>
    <w:rsid w:val="008F79B7"/>
    <w:rsid w:val="00902E7D"/>
    <w:rsid w:val="00907D29"/>
    <w:rsid w:val="00925756"/>
    <w:rsid w:val="00943F84"/>
    <w:rsid w:val="00951500"/>
    <w:rsid w:val="009635CE"/>
    <w:rsid w:val="009657F2"/>
    <w:rsid w:val="009662A0"/>
    <w:rsid w:val="00971320"/>
    <w:rsid w:val="009728E8"/>
    <w:rsid w:val="0097747D"/>
    <w:rsid w:val="009B2937"/>
    <w:rsid w:val="009B636A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6BA7"/>
    <w:rsid w:val="00A71CA9"/>
    <w:rsid w:val="00A72503"/>
    <w:rsid w:val="00A817FB"/>
    <w:rsid w:val="00A826D3"/>
    <w:rsid w:val="00A834A3"/>
    <w:rsid w:val="00AA18CD"/>
    <w:rsid w:val="00AA42B0"/>
    <w:rsid w:val="00AB2462"/>
    <w:rsid w:val="00AC2C35"/>
    <w:rsid w:val="00AE0A0F"/>
    <w:rsid w:val="00AF4E88"/>
    <w:rsid w:val="00B01A6B"/>
    <w:rsid w:val="00B51B0C"/>
    <w:rsid w:val="00B52A31"/>
    <w:rsid w:val="00B70643"/>
    <w:rsid w:val="00B775EC"/>
    <w:rsid w:val="00B95355"/>
    <w:rsid w:val="00BA311E"/>
    <w:rsid w:val="00BB77C7"/>
    <w:rsid w:val="00BD582F"/>
    <w:rsid w:val="00BE5AAB"/>
    <w:rsid w:val="00BF3937"/>
    <w:rsid w:val="00C00C46"/>
    <w:rsid w:val="00C00D5D"/>
    <w:rsid w:val="00C013A0"/>
    <w:rsid w:val="00C03438"/>
    <w:rsid w:val="00C63D8E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1AAF"/>
    <w:rsid w:val="00DF214C"/>
    <w:rsid w:val="00E20DFA"/>
    <w:rsid w:val="00E513BD"/>
    <w:rsid w:val="00E60673"/>
    <w:rsid w:val="00E72785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530B"/>
    <w:rsid w:val="00EF7F44"/>
    <w:rsid w:val="00F02E23"/>
    <w:rsid w:val="00F31AEC"/>
    <w:rsid w:val="00F7614A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4DEA"/>
  <w15:docId w15:val="{86033554-5647-4CBB-BE08-D9AD8F6A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AE0A0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F62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 Inc.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Anna Kempiisty</dc:creator>
  <cp:lastModifiedBy>Sławomir Nosowski</cp:lastModifiedBy>
  <cp:revision>17</cp:revision>
  <cp:lastPrinted>2020-02-25T10:10:00Z</cp:lastPrinted>
  <dcterms:created xsi:type="dcterms:W3CDTF">2020-02-24T13:48:00Z</dcterms:created>
  <dcterms:modified xsi:type="dcterms:W3CDTF">2020-03-09T14:57:00Z</dcterms:modified>
</cp:coreProperties>
</file>